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15" w:rsidRDefault="00671815" w:rsidP="00671815">
      <w:pPr>
        <w:shd w:val="clear" w:color="auto" w:fill="FFFFFF"/>
        <w:spacing w:after="0" w:line="300" w:lineRule="atLeast"/>
        <w:jc w:val="both"/>
        <w:rPr>
          <w:rFonts w:ascii="source_sans_prosemibold" w:eastAsia="Times New Roman" w:hAnsi="source_sans_prosemibold" w:cs="Times New Roman"/>
          <w:b/>
          <w:bCs/>
          <w:color w:val="3B3B3B"/>
          <w:sz w:val="23"/>
          <w:szCs w:val="23"/>
          <w:bdr w:val="none" w:sz="0" w:space="0" w:color="auto" w:frame="1"/>
        </w:rPr>
      </w:pPr>
    </w:p>
    <w:p w:rsidR="00671815" w:rsidRPr="00671815" w:rsidRDefault="00FD0ED2" w:rsidP="00671815">
      <w:pPr>
        <w:shd w:val="clear" w:color="auto" w:fill="FFFFFF"/>
        <w:spacing w:after="0" w:line="300" w:lineRule="atLeast"/>
        <w:jc w:val="both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>
        <w:rPr>
          <w:rFonts w:ascii="source_sans_prosemibold" w:eastAsia="Times New Roman" w:hAnsi="source_sans_prosemibold" w:cs="Times New Roman"/>
          <w:b/>
          <w:bCs/>
          <w:color w:val="3B3B3B"/>
          <w:sz w:val="23"/>
          <w:szCs w:val="23"/>
          <w:bdr w:val="none" w:sz="0" w:space="0" w:color="auto" w:frame="1"/>
        </w:rPr>
        <w:t xml:space="preserve">Why to Choose a Property in Bhiwadi, Delhi-NCR? </w:t>
      </w:r>
    </w:p>
    <w:p w:rsidR="00671815" w:rsidRPr="00671815" w:rsidRDefault="00671815" w:rsidP="00671815">
      <w:pPr>
        <w:shd w:val="clear" w:color="auto" w:fill="FFFFFF"/>
        <w:spacing w:after="330" w:line="300" w:lineRule="atLeast"/>
        <w:jc w:val="both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Industries, growing job opportunities, rapid urbanization and ambitious government projects are making Bhiwadi, soon to be an extension of Delhi NCR, a hot zone for real estate investment.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Buyer's today will have "first mover advantage" as property rates are appreciating at 5-10% annually.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Bhiwadi is spread across almost 5,300 acres of land and has 2700 small, medium and big industries already in operation generating massive employment opportunities.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Delhi-Mumbai Industrial Corridor (DMIC) will connect Bhiwadi to the airport as well as the Sea Port and all major industrial hubs in between.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30 minute drive from the industrial hub of </w:t>
      </w:r>
      <w:proofErr w:type="spellStart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Manesar</w:t>
      </w:r>
      <w:proofErr w:type="spellEnd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 and 45 minute drive from Gurgaon makes it easy to travel back and forth on a daily basis.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Proposed High Speed Metro, Rapid Transit Railway connectivity to Delhi and existing bus connectivity on the Delhi-Jaipur route provides excellent public transportation on a daily basis.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Residential demand in Bhiwadi has gone up by 400% in the last 5 years but property rates are still much more affordable than rest of Delhi-NCR.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Government has earmarked 6,019 hectare for industrial use, 1,598 for entertainment and parks thus making it a holistic suburb for residents through ample employment and recreational opportunities.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Government has invested </w:t>
      </w:r>
      <w:proofErr w:type="spellStart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Rs</w:t>
      </w:r>
      <w:proofErr w:type="spellEnd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 5 </w:t>
      </w:r>
      <w:proofErr w:type="spellStart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crore</w:t>
      </w:r>
      <w:proofErr w:type="spellEnd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 in the development of a water body and </w:t>
      </w:r>
      <w:proofErr w:type="spellStart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Rs</w:t>
      </w:r>
      <w:proofErr w:type="spellEnd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 60 </w:t>
      </w:r>
      <w:proofErr w:type="spellStart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crore</w:t>
      </w:r>
      <w:proofErr w:type="spellEnd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 xml:space="preserve"> in a water distribution system to ensure residents get continuous supply of water. </w:t>
      </w:r>
    </w:p>
    <w:p w:rsidR="00671815" w:rsidRPr="00671815" w:rsidRDefault="00671815" w:rsidP="00671815">
      <w:pPr>
        <w:numPr>
          <w:ilvl w:val="0"/>
          <w:numId w:val="1"/>
        </w:numPr>
        <w:pBdr>
          <w:bottom w:val="single" w:sz="6" w:space="8" w:color="D0D1D4"/>
        </w:pBdr>
        <w:shd w:val="clear" w:color="auto" w:fill="FFFFFF"/>
        <w:spacing w:after="0" w:line="240" w:lineRule="atLeast"/>
        <w:ind w:left="0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bookmarkStart w:id="0" w:name="_GoBack"/>
      <w:bookmarkEnd w:id="0"/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List of basic public services and industries: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71815" w:rsidRPr="00671815" w:rsidTr="00671815">
        <w:tc>
          <w:tcPr>
            <w:tcW w:w="1000" w:type="pct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</w:rPr>
              <w:t>Schools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Modern Public School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Bal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Bharati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School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St. Xavier’s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Presidency School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DPS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Raman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Munjal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Vidya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Mandir</w:t>
            </w:r>
            <w:proofErr w:type="spellEnd"/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Sagar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Public,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Starex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International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CSKM</w:t>
            </w:r>
          </w:p>
        </w:tc>
      </w:tr>
      <w:tr w:rsidR="00671815" w:rsidRPr="00671815" w:rsidTr="00671815">
        <w:tc>
          <w:tcPr>
            <w:tcW w:w="500" w:type="pct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</w:rPr>
              <w:t>Hospital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Vinayak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Hospital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ESI Hospital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lastRenderedPageBreak/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</w:tbl>
    <w:p w:rsidR="00671815" w:rsidRPr="00671815" w:rsidRDefault="00671815" w:rsidP="00671815">
      <w:pPr>
        <w:shd w:val="clear" w:color="auto" w:fill="FFFFFF"/>
        <w:spacing w:after="0" w:line="240" w:lineRule="auto"/>
        <w:rPr>
          <w:rFonts w:ascii="source_sans_proregular" w:eastAsia="Times New Roman" w:hAnsi="source_sans_proregular" w:cs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71815" w:rsidRPr="00671815" w:rsidTr="00671815">
        <w:tc>
          <w:tcPr>
            <w:tcW w:w="550" w:type="pct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</w:rPr>
              <w:t>Banks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SBI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SBBJ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PNB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HDFC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ICICI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Yes Bank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AXIS Bank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500" w:type="pct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</w:rPr>
              <w:t>Shopping Complex/Super Marts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Ganpati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Plaza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BB Mall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Central Market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Capital Mall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Easy Day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lastRenderedPageBreak/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</w:tc>
      </w:tr>
    </w:tbl>
    <w:p w:rsidR="00671815" w:rsidRPr="00671815" w:rsidRDefault="00671815" w:rsidP="00671815">
      <w:pPr>
        <w:shd w:val="clear" w:color="auto" w:fill="FFFFFF"/>
        <w:spacing w:after="330" w:line="300" w:lineRule="atLeast"/>
        <w:jc w:val="both"/>
        <w:rPr>
          <w:rFonts w:ascii="source_sans_proregular" w:eastAsia="Times New Roman" w:hAnsi="source_sans_proregular" w:cs="Times New Roman"/>
          <w:color w:val="3B3B3B"/>
          <w:sz w:val="23"/>
          <w:szCs w:val="23"/>
        </w:rPr>
      </w:pPr>
      <w:r w:rsidRPr="00671815">
        <w:rPr>
          <w:rFonts w:ascii="source_sans_proregular" w:eastAsia="Times New Roman" w:hAnsi="source_sans_proregular" w:cs="Times New Roman"/>
          <w:color w:val="3B3B3B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</w:rPr>
              <w:t>Existing industries in Bhiwadi </w:t>
            </w: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br/>
              <w:t>(Source: </w:t>
            </w:r>
            <w:hyperlink r:id="rId5" w:tgtFrame="_blank" w:history="1">
              <w:r w:rsidRPr="00671815">
                <w:rPr>
                  <w:rFonts w:ascii="Times New Roman" w:eastAsia="Times New Roman" w:hAnsi="Times New Roman" w:cs="Times New Roman"/>
                  <w:color w:val="3B3B3B"/>
                  <w:sz w:val="23"/>
                  <w:szCs w:val="23"/>
                  <w:bdr w:val="none" w:sz="0" w:space="0" w:color="auto" w:frame="1"/>
                </w:rPr>
                <w:t>Wikipedia</w:t>
              </w:r>
            </w:hyperlink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)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Gillette India Ltd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Jaquar</w:t>
            </w:r>
            <w:proofErr w:type="spellEnd"/>
            <w:r w:rsidR="00A1063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&amp; Company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Honda Motorcycle &amp; Scooter India</w:t>
            </w:r>
            <w:r w:rsidR="00A1063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Honda Cars India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Ashok Leyland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Eicher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Motors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Saint-Gobain Glass India Ltd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Havells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India Ltd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VI John Group United Breweries</w:t>
            </w:r>
            <w:r w:rsidR="00A1063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Motherson</w:t>
            </w:r>
            <w:proofErr w:type="spellEnd"/>
            <w:r w:rsidR="00A1063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Sumi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Systems Ltd Climate Systems India Ltd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Federal Moghul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Goetze</w:t>
            </w:r>
            <w:proofErr w:type="spellEnd"/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Kajaria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Ceramics Limited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Ray</w:t>
            </w:r>
            <w:r w:rsidR="00A1063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Ban Sun Optics India Ltd.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Varun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Beverages Limited (Pepsi) NirconInfratech </w:t>
            </w:r>
            <w:proofErr w:type="spellStart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Pvt</w:t>
            </w:r>
            <w:proofErr w:type="spellEnd"/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Ltd</w:t>
            </w:r>
          </w:p>
        </w:tc>
      </w:tr>
      <w:tr w:rsidR="00671815" w:rsidRPr="00671815" w:rsidTr="00671815">
        <w:tc>
          <w:tcPr>
            <w:tcW w:w="0" w:type="auto"/>
            <w:tcBorders>
              <w:top w:val="single" w:sz="6" w:space="0" w:color="E7D8C4"/>
              <w:left w:val="single" w:sz="6" w:space="0" w:color="E7D8C4"/>
              <w:bottom w:val="single" w:sz="6" w:space="0" w:color="E7D8C4"/>
              <w:right w:val="single" w:sz="6" w:space="0" w:color="E7D8C4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71815" w:rsidRPr="00671815" w:rsidRDefault="00671815" w:rsidP="00671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671815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SRF Limited</w:t>
            </w:r>
          </w:p>
        </w:tc>
      </w:tr>
    </w:tbl>
    <w:p w:rsidR="008615BF" w:rsidRDefault="009823F7" w:rsidP="00671815"/>
    <w:p w:rsidR="00671815" w:rsidRPr="00671815" w:rsidRDefault="00671815" w:rsidP="00671815">
      <w:r w:rsidRPr="00671815">
        <w:t>https://www.ashianahousing.com/projects/ashiana-surbhi-bhiwadi-sohna-road-bhiwadi-ncr/</w:t>
      </w:r>
    </w:p>
    <w:sectPr w:rsidR="00671815" w:rsidRPr="0067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3B7E"/>
    <w:multiLevelType w:val="multilevel"/>
    <w:tmpl w:val="264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5"/>
    <w:rsid w:val="00671815"/>
    <w:rsid w:val="009823F7"/>
    <w:rsid w:val="00A10636"/>
    <w:rsid w:val="00B50A80"/>
    <w:rsid w:val="00BA0AD7"/>
    <w:rsid w:val="00F453BF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6D6BA-0D50-4092-83D4-E600C6F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815"/>
    <w:rPr>
      <w:b/>
      <w:bCs/>
    </w:rPr>
  </w:style>
  <w:style w:type="character" w:customStyle="1" w:styleId="apple-converted-space">
    <w:name w:val="apple-converted-space"/>
    <w:basedOn w:val="DefaultParagraphFont"/>
    <w:rsid w:val="00671815"/>
  </w:style>
  <w:style w:type="character" w:styleId="Hyperlink">
    <w:name w:val="Hyperlink"/>
    <w:basedOn w:val="DefaultParagraphFont"/>
    <w:uiPriority w:val="99"/>
    <w:semiHidden/>
    <w:unhideWhenUsed/>
    <w:rsid w:val="0067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Bhiw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Singh</dc:creator>
  <cp:keywords/>
  <dc:description/>
  <cp:lastModifiedBy>Rahul Singh</cp:lastModifiedBy>
  <cp:revision>6</cp:revision>
  <dcterms:created xsi:type="dcterms:W3CDTF">2015-07-10T10:58:00Z</dcterms:created>
  <dcterms:modified xsi:type="dcterms:W3CDTF">2015-07-10T12:49:00Z</dcterms:modified>
</cp:coreProperties>
</file>